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2018年度新疆喀什地区英吉沙县苏盖提乡人民政府(本级）部门决算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1、贯彻落实党和国家在农村的各项方针政策和法律法规，做好农业、农村、农民工作。</w:t>
      </w:r>
      <w:r>
        <w:rPr>
          <w:rFonts w:hint="eastAsia" w:ascii="仿宋_GB2312" w:eastAsia="仿宋_GB2312"/>
          <w:sz w:val="32"/>
          <w:szCs w:val="32"/>
        </w:rPr>
        <w:br w:type="textWrapping"/>
      </w:r>
      <w:r>
        <w:rPr>
          <w:rFonts w:hint="eastAsia" w:ascii="仿宋_GB2312" w:eastAsia="仿宋_GB2312"/>
          <w:sz w:val="32"/>
          <w:szCs w:val="32"/>
        </w:rPr>
        <w:t xml:space="preserve">    2、围绕促进经济发展、增加农民收入，强化公共服务、着力改善民生，加强社会管理、维护农村</w:t>
      </w:r>
      <w:r>
        <w:rPr>
          <w:rFonts w:hint="eastAsia" w:ascii="仿宋_GB2312" w:eastAsia="仿宋_GB2312"/>
          <w:sz w:val="32"/>
          <w:szCs w:val="32"/>
          <w:lang w:eastAsia="zh-CN"/>
        </w:rPr>
        <w:t>和谐</w:t>
      </w:r>
      <w:r>
        <w:rPr>
          <w:rFonts w:hint="eastAsia" w:ascii="仿宋_GB2312" w:eastAsia="仿宋_GB2312"/>
          <w:sz w:val="32"/>
          <w:szCs w:val="32"/>
        </w:rPr>
        <w:t>，推进基层民主、促进农村和谐四个方面全面履行职能。</w:t>
      </w:r>
      <w:r>
        <w:rPr>
          <w:rFonts w:hint="eastAsia" w:ascii="仿宋_GB2312" w:eastAsia="仿宋_GB2312"/>
          <w:sz w:val="32"/>
          <w:szCs w:val="32"/>
        </w:rPr>
        <w:br w:type="textWrapping"/>
      </w:r>
      <w:r>
        <w:rPr>
          <w:rFonts w:hint="eastAsia" w:ascii="仿宋_GB2312" w:eastAsia="仿宋_GB2312"/>
          <w:sz w:val="32"/>
          <w:szCs w:val="32"/>
        </w:rPr>
        <w:t xml:space="preserve">    3、把经济工作的着力点放在营造良好发展环境、扶持典型进行示范引导上来，提高经济发展的质量和水平。</w:t>
      </w:r>
      <w:r>
        <w:rPr>
          <w:rFonts w:hint="eastAsia" w:ascii="仿宋_GB2312" w:eastAsia="仿宋_GB2312"/>
          <w:sz w:val="32"/>
          <w:szCs w:val="32"/>
        </w:rPr>
        <w:br w:type="textWrapping"/>
      </w:r>
      <w:r>
        <w:rPr>
          <w:rFonts w:hint="eastAsia" w:ascii="仿宋_GB2312" w:eastAsia="仿宋_GB2312"/>
          <w:sz w:val="32"/>
          <w:szCs w:val="32"/>
        </w:rPr>
        <w:t xml:space="preserve">    4、做好乡村发展规划，推动产业结构调整。</w:t>
      </w:r>
      <w:r>
        <w:rPr>
          <w:rFonts w:hint="eastAsia" w:ascii="仿宋_GB2312" w:eastAsia="仿宋_GB2312"/>
          <w:sz w:val="32"/>
          <w:szCs w:val="32"/>
        </w:rPr>
        <w:br w:type="textWrapping"/>
      </w:r>
      <w:r>
        <w:rPr>
          <w:rFonts w:hint="eastAsia" w:ascii="仿宋_GB2312" w:eastAsia="仿宋_GB2312"/>
          <w:sz w:val="32"/>
          <w:szCs w:val="32"/>
        </w:rPr>
        <w:t xml:space="preserve">    5、加强农村基础设施、新型农村服务体系、村镇规划建设，落实强农惠农措施，着力解决群众生产生活中的突出问题，切实维护农民合法权益。尊重农民的生产经营自主权，不得干预企业的具体生产经营活动。</w:t>
      </w:r>
      <w:r>
        <w:rPr>
          <w:rFonts w:hint="eastAsia" w:ascii="仿宋_GB2312" w:eastAsia="仿宋_GB2312"/>
          <w:sz w:val="32"/>
          <w:szCs w:val="32"/>
        </w:rPr>
        <w:br w:type="textWrapping"/>
      </w:r>
      <w:r>
        <w:rPr>
          <w:rFonts w:hint="eastAsia" w:ascii="仿宋_GB2312" w:eastAsia="仿宋_GB2312"/>
          <w:sz w:val="32"/>
          <w:szCs w:val="32"/>
        </w:rPr>
        <w:t xml:space="preserve">    6、增强社会管理和公共服务职能。拓宽服务渠道，改进服务方式，通过“一站式”服务、办事代理制等多种形式，方便群众办事。</w:t>
      </w:r>
      <w:r>
        <w:rPr>
          <w:rFonts w:hint="eastAsia" w:ascii="仿宋_GB2312" w:eastAsia="仿宋_GB2312"/>
          <w:sz w:val="32"/>
          <w:szCs w:val="32"/>
        </w:rPr>
        <w:br w:type="textWrapping"/>
      </w:r>
      <w:r>
        <w:rPr>
          <w:rFonts w:hint="eastAsia" w:ascii="仿宋_GB2312" w:eastAsia="仿宋_GB2312"/>
          <w:sz w:val="32"/>
          <w:szCs w:val="32"/>
        </w:rPr>
        <w:t xml:space="preserve">    7、推进依法行政，严格依法履行职责，为农民提供更多的公共服务，促进社会事业发展。综合发挥人民调解、行政调解和司法调解的作用，加强农村社会治安综合治理，及时化解农村社会矛盾，确保社会</w:t>
      </w:r>
      <w:r>
        <w:rPr>
          <w:rFonts w:hint="eastAsia" w:ascii="仿宋_GB2312" w:eastAsia="仿宋_GB2312"/>
          <w:sz w:val="32"/>
          <w:szCs w:val="32"/>
          <w:lang w:eastAsia="zh-CN"/>
        </w:rPr>
        <w:t>和谐</w:t>
      </w:r>
      <w:r>
        <w:rPr>
          <w:rFonts w:hint="eastAsia" w:ascii="仿宋_GB2312" w:eastAsia="仿宋_GB2312"/>
          <w:sz w:val="32"/>
          <w:szCs w:val="32"/>
        </w:rPr>
        <w:t>。指导村民自治，推动农村建设，促进社会组织健康发展，增强社会自治功能。</w:t>
      </w:r>
      <w:r>
        <w:rPr>
          <w:rFonts w:hint="eastAsia" w:ascii="仿宋_GB2312" w:eastAsia="仿宋_GB2312"/>
          <w:sz w:val="32"/>
          <w:szCs w:val="32"/>
        </w:rPr>
        <w:br w:type="textWrapping"/>
      </w:r>
      <w:r>
        <w:rPr>
          <w:rFonts w:hint="eastAsia" w:ascii="仿宋_GB2312" w:eastAsia="仿宋_GB2312"/>
          <w:sz w:val="32"/>
          <w:szCs w:val="32"/>
        </w:rPr>
        <w:t xml:space="preserve">    8、加强乡镇对村（居）民委员会选举、村务公开、资产财务的指导和监管。</w:t>
      </w:r>
      <w:r>
        <w:rPr>
          <w:rFonts w:hint="eastAsia" w:ascii="仿宋_GB2312" w:eastAsia="仿宋_GB2312"/>
          <w:sz w:val="32"/>
          <w:szCs w:val="32"/>
        </w:rPr>
        <w:br w:type="textWrapping"/>
      </w:r>
      <w:r>
        <w:rPr>
          <w:rFonts w:hint="eastAsia" w:ascii="仿宋_GB2312" w:eastAsia="仿宋_GB2312"/>
          <w:sz w:val="32"/>
          <w:szCs w:val="32"/>
        </w:rPr>
        <w:t xml:space="preserve">    9、加强国家级历史文化名镇的保护与管理，弘扬民族历史文化工作。</w:t>
      </w:r>
      <w:r>
        <w:rPr>
          <w:rFonts w:hint="eastAsia" w:ascii="仿宋_GB2312" w:eastAsia="仿宋_GB2312"/>
          <w:sz w:val="32"/>
          <w:szCs w:val="32"/>
        </w:rPr>
        <w:br w:type="textWrapping"/>
      </w:r>
      <w:r>
        <w:rPr>
          <w:rFonts w:hint="eastAsia" w:ascii="仿宋_GB2312" w:eastAsia="仿宋_GB2312"/>
          <w:sz w:val="32"/>
          <w:szCs w:val="32"/>
        </w:rPr>
        <w:t xml:space="preserve">    10、承办上级党委、政府交办的其它工作。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新疆喀什地区英吉沙县苏盖提乡人民政府(本级）</w:t>
      </w:r>
      <w:r>
        <w:rPr>
          <w:rFonts w:hint="eastAsia" w:ascii="仿宋_GB2312" w:eastAsia="仿宋_GB2312"/>
          <w:sz w:val="32"/>
          <w:szCs w:val="32"/>
        </w:rPr>
        <w:t>部门决算包括：</w:t>
      </w:r>
      <w:r>
        <w:rPr>
          <w:rFonts w:ascii="仿宋_GB2312" w:eastAsia="仿宋_GB2312"/>
          <w:sz w:val="32"/>
          <w:szCs w:val="32"/>
        </w:rPr>
        <w:t>新疆喀什地区英吉沙县苏盖提乡人民政府(本级）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新疆喀什地区英吉沙县苏盖提乡人民政府(本级）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新疆喀什地区英吉沙县苏盖提乡人民政府(本级</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4,512.27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，与上年相比，增加530.92万元，增长13.34%，增减变化主要原因是：</w:t>
      </w:r>
      <w:r>
        <w:rPr>
          <w:rFonts w:hint="eastAsia" w:ascii="仿宋_GB2312" w:eastAsia="仿宋_GB2312"/>
          <w:color w:val="000000" w:themeColor="text1"/>
          <w:sz w:val="32"/>
          <w:szCs w:val="32"/>
        </w:rPr>
        <w:t>由于惠农补贴项目增多，补贴收入增加；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5,352.27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，与上年相比，增加2,210.92万元，增长70.38%，增减变化主要原因是：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，与上年相比，减少840万元，</w:t>
      </w:r>
      <w:r>
        <w:rPr>
          <w:rFonts w:hint="eastAsia" w:ascii="仿宋_GB2312" w:eastAsia="仿宋_GB2312"/>
          <w:sz w:val="32"/>
          <w:szCs w:val="32"/>
          <w:lang w:eastAsia="zh-CN"/>
        </w:rPr>
        <w:t>降低</w:t>
      </w:r>
      <w:r>
        <w:rPr>
          <w:rFonts w:hint="eastAsia" w:ascii="仿宋_GB2312" w:eastAsia="仿宋_GB2312"/>
          <w:sz w:val="32"/>
          <w:szCs w:val="32"/>
        </w:rPr>
        <w:t>100%，增减变化主要原因是：</w:t>
      </w:r>
      <w:r>
        <w:rPr>
          <w:rFonts w:ascii="仿宋_GB2312" w:eastAsia="仿宋_GB2312"/>
          <w:color w:val="000000" w:themeColor="text1"/>
          <w:sz w:val="32"/>
          <w:szCs w:val="32"/>
        </w:rPr>
        <w:t>本年项目执行到位，年末无结余结转。</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4,512.27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3,996.18</w:t>
      </w:r>
      <w:r>
        <w:rPr>
          <w:rFonts w:hint="eastAsia" w:ascii="仿宋_GB2312" w:eastAsia="仿宋_GB2312"/>
          <w:color w:val="000000" w:themeColor="text1"/>
          <w:sz w:val="32"/>
          <w:szCs w:val="32"/>
        </w:rPr>
        <w:t>万元，占</w:t>
      </w:r>
      <w:r>
        <w:rPr>
          <w:rFonts w:hint="eastAsia" w:ascii="仿宋_GB2312" w:eastAsia="仿宋_GB2312"/>
          <w:sz w:val="32"/>
          <w:szCs w:val="32"/>
        </w:rPr>
        <w:t>88.56%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516.08</w:t>
      </w:r>
      <w:r>
        <w:rPr>
          <w:rFonts w:hint="eastAsia" w:ascii="仿宋_GB2312" w:eastAsia="仿宋_GB2312"/>
          <w:color w:val="000000" w:themeColor="text1"/>
          <w:sz w:val="32"/>
          <w:szCs w:val="32"/>
        </w:rPr>
        <w:t>万元，占</w:t>
      </w:r>
      <w:r>
        <w:rPr>
          <w:rFonts w:hint="eastAsia" w:ascii="仿宋_GB2312" w:eastAsia="仿宋_GB2312"/>
          <w:sz w:val="32"/>
          <w:szCs w:val="32"/>
        </w:rPr>
        <w:t>11.44%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况：本年收入年初预算数1,292.26万元</w:t>
      </w:r>
      <w:r>
        <w:rPr>
          <w:rFonts w:hint="eastAsia" w:ascii="仿宋_GB2312" w:eastAsia="仿宋_GB2312"/>
          <w:sz w:val="32"/>
          <w:szCs w:val="32"/>
        </w:rPr>
        <w:t>，决算数4,512.27万元</w:t>
      </w:r>
      <w:r>
        <w:rPr>
          <w:rFonts w:ascii="仿宋_GB2312" w:eastAsia="仿宋_GB2312"/>
          <w:sz w:val="32"/>
          <w:szCs w:val="32"/>
        </w:rPr>
        <w:t>，预决算差异率249.18%，差异主要原因是由于惠农补贴项目增多，补贴收入增加，预算未安排。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5,352.27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1,621.96</w:t>
      </w:r>
      <w:r>
        <w:rPr>
          <w:rFonts w:hint="eastAsia" w:ascii="仿宋_GB2312" w:eastAsia="仿宋_GB2312"/>
          <w:color w:val="000000" w:themeColor="text1"/>
          <w:sz w:val="32"/>
          <w:szCs w:val="32"/>
        </w:rPr>
        <w:t>万元，占</w:t>
      </w:r>
      <w:r>
        <w:rPr>
          <w:rFonts w:hint="eastAsia" w:ascii="仿宋_GB2312" w:eastAsia="仿宋_GB2312"/>
          <w:sz w:val="32"/>
          <w:szCs w:val="32"/>
        </w:rPr>
        <w:t>30.3%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3,730.31</w:t>
      </w:r>
      <w:r>
        <w:rPr>
          <w:rFonts w:hint="eastAsia" w:ascii="仿宋_GB2312" w:eastAsia="仿宋_GB2312"/>
          <w:color w:val="000000" w:themeColor="text1"/>
          <w:sz w:val="32"/>
          <w:szCs w:val="32"/>
        </w:rPr>
        <w:t>万元，占</w:t>
      </w:r>
      <w:r>
        <w:rPr>
          <w:rFonts w:hint="eastAsia" w:ascii="仿宋_GB2312" w:eastAsia="仿宋_GB2312"/>
          <w:sz w:val="32"/>
          <w:szCs w:val="32"/>
        </w:rPr>
        <w:t>69.7%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与年初预算数相比情况：本年支出年初预算数1,292.26万元，</w:t>
      </w:r>
      <w:r>
        <w:rPr>
          <w:rFonts w:hint="eastAsia" w:ascii="仿宋_GB2312" w:eastAsia="仿宋_GB2312"/>
          <w:sz w:val="32"/>
          <w:szCs w:val="32"/>
        </w:rPr>
        <w:t>决算数5,352.27万元</w:t>
      </w:r>
      <w:r>
        <w:rPr>
          <w:rFonts w:ascii="仿宋_GB2312" w:eastAsia="仿宋_GB2312"/>
          <w:sz w:val="32"/>
          <w:szCs w:val="32"/>
        </w:rPr>
        <w:t>，预决算差异率314.18%，差异主要原因是由于惠农补贴项目增多，补贴支出增加，预算未安排。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3,996.18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，与上年相比，增加854.83万元，增长27.21%，增减变化的主要原因是：由于惠农补贴项目增多，补贴收入增加。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3,996.18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，与上年相比，增加854.83万元，增长27.21%，增减变化的主要原因是：</w:t>
      </w:r>
      <w:r>
        <w:rPr>
          <w:rFonts w:ascii="仿宋_GB2312" w:eastAsia="仿宋_GB2312"/>
          <w:sz w:val="32"/>
          <w:szCs w:val="32"/>
        </w:rPr>
        <w:t>由于惠农补贴项目增多，补贴支出增加。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1,516.7</w:t>
      </w:r>
      <w:r>
        <w:rPr>
          <w:rFonts w:hint="eastAsia" w:ascii="仿宋_GB2312" w:eastAsia="仿宋_GB2312"/>
          <w:color w:val="000000" w:themeColor="text1"/>
          <w:sz w:val="32"/>
          <w:szCs w:val="32"/>
        </w:rPr>
        <w:t>万元，项目支出</w:t>
      </w:r>
      <w:r>
        <w:rPr>
          <w:rFonts w:hint="eastAsia" w:ascii="仿宋_GB2312" w:eastAsia="仿宋_GB2312"/>
          <w:sz w:val="32"/>
          <w:szCs w:val="32"/>
        </w:rPr>
        <w:t>2,479.48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%主要原因是：项目执行到位，年末无结余结转。</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1,292.26</w:t>
      </w:r>
      <w:r>
        <w:rPr>
          <w:rFonts w:hint="eastAsia" w:ascii="仿宋_GB2312" w:eastAsia="仿宋_GB2312"/>
          <w:color w:val="000000" w:themeColor="text1"/>
          <w:sz w:val="32"/>
          <w:szCs w:val="32"/>
        </w:rPr>
        <w:t>万元，决算数</w:t>
      </w:r>
      <w:r>
        <w:rPr>
          <w:rFonts w:hint="eastAsia" w:ascii="仿宋_GB2312" w:eastAsia="仿宋_GB2312"/>
          <w:sz w:val="32"/>
          <w:szCs w:val="32"/>
        </w:rPr>
        <w:t>3,996.18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，预决算差异率209.24%，差异主要原因是由于惠农补贴项目增多，补贴收入增加，预算未安排。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1,292.26</w:t>
      </w:r>
      <w:r>
        <w:rPr>
          <w:rFonts w:hint="eastAsia" w:ascii="仿宋_GB2312" w:eastAsia="仿宋_GB2312"/>
          <w:color w:val="000000" w:themeColor="text1"/>
          <w:sz w:val="32"/>
          <w:szCs w:val="32"/>
        </w:rPr>
        <w:t>万元，决算数</w:t>
      </w:r>
      <w:r>
        <w:rPr>
          <w:rFonts w:hint="eastAsia" w:ascii="仿宋_GB2312" w:eastAsia="仿宋_GB2312"/>
          <w:sz w:val="32"/>
          <w:szCs w:val="32"/>
        </w:rPr>
        <w:t>3,996.18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，预决算差异率209.24%，差异主要原因是由于惠农补贴项目增多，补贴支出增加，预算未安排。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3,996.18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，与上年相比，增加854.83万元，增长27.21%，</w:t>
      </w:r>
      <w:r>
        <w:rPr>
          <w:rFonts w:hint="eastAsia" w:ascii="仿宋_GB2312" w:eastAsia="仿宋_GB2312"/>
          <w:sz w:val="32"/>
          <w:szCs w:val="32"/>
        </w:rPr>
        <w:t>增减变化的主要原因是</w:t>
      </w:r>
      <w:r>
        <w:rPr>
          <w:rFonts w:ascii="仿宋_GB2312" w:eastAsia="仿宋_GB2312"/>
          <w:color w:val="000000" w:themeColor="text1"/>
          <w:sz w:val="32"/>
          <w:szCs w:val="32"/>
        </w:rPr>
        <w:t>：由于惠农补贴项目增多，补贴收入增加。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3,996.18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，与上年相比，增加854.83万元，增长27.21%，增减变化的主要原因是：由于惠农补贴项目增多，补贴支出增加。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国土海洋气象等支出11.9万元,住房保障支出75.99万元,一般公共服务支出1,239.76万元,农林水支出2,124.63万元,公共安全支出184.57万元,文化体育与传媒支出30.22万元,其他支出172.26万元,社会保障和就业支出156.85万元。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工资福利支出1,164.38万元,商品和服务支出29.34万元,对个人和家庭的补助2,722.77万元,资本性支出79.7万元。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1,292.26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3,996.18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，预决算差异率209.24%，差异主要原因是由于惠农补贴项目增多，补贴收入增加，预算未安排。</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1,292.26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3,996.18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，预决算差异率209.24%，差异主要原因是由于惠农补贴项目增多，补贴支出增加，预算未安排。</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%。增减变化的主要原因是：本单位无政府性基金预算安排，也没有财政拨款收入、支出情况。</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%。增减变化的主要原因是：本单位无政府性基金预算安排，也没有财政拨款收入、支出情况。</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，预决算差异率0%，差异主要原因是本单位无政府性基金预算安排，也没有财政拨款收入、支出情况。</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，预决算差异率0%，差异主要原因是本单位无政府性基金预算安排，也没有财政拨款收入、支出情况。</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。与上年相比，减少840万元，</w:t>
      </w:r>
      <w:r>
        <w:rPr>
          <w:rFonts w:hint="eastAsia" w:ascii="仿宋_GB2312" w:eastAsia="仿宋_GB2312"/>
          <w:sz w:val="32"/>
          <w:szCs w:val="32"/>
          <w:lang w:eastAsia="zh-CN"/>
        </w:rPr>
        <w:t>降低</w:t>
      </w:r>
      <w:r>
        <w:rPr>
          <w:rFonts w:hint="eastAsia" w:ascii="仿宋_GB2312" w:eastAsia="仿宋_GB2312"/>
          <w:sz w:val="32"/>
          <w:szCs w:val="32"/>
        </w:rPr>
        <w:t>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0.41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，与上年相比，减少2.79万元，</w:t>
      </w:r>
      <w:r>
        <w:rPr>
          <w:rFonts w:hint="eastAsia" w:ascii="仿宋_GB2312" w:eastAsia="仿宋_GB2312"/>
          <w:sz w:val="32"/>
          <w:szCs w:val="32"/>
          <w:lang w:eastAsia="zh-CN"/>
        </w:rPr>
        <w:t>降低</w:t>
      </w:r>
      <w:r>
        <w:rPr>
          <w:rFonts w:hint="eastAsia" w:ascii="仿宋_GB2312" w:eastAsia="仿宋_GB2312"/>
          <w:sz w:val="32"/>
          <w:szCs w:val="32"/>
        </w:rPr>
        <w:t>87.19%，</w:t>
      </w:r>
      <w:r>
        <w:rPr>
          <w:rFonts w:hint="eastAsia" w:ascii="仿宋_GB2312" w:eastAsia="仿宋_GB2312"/>
          <w:sz w:val="32"/>
          <w:szCs w:val="32"/>
          <w:lang w:eastAsia="zh-CN"/>
        </w:rPr>
        <w:t>减少</w:t>
      </w:r>
      <w:r>
        <w:rPr>
          <w:rFonts w:hint="eastAsia" w:ascii="仿宋_GB2312" w:eastAsia="仿宋_GB2312"/>
          <w:sz w:val="32"/>
          <w:szCs w:val="32"/>
        </w:rPr>
        <w:t>原因是：严格执行“三公”经费只减不增的要求。</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%，增加原因是：本单位无此项预算安排，也没有此项财政拨款支出；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0.41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sz w:val="32"/>
          <w:szCs w:val="32"/>
          <w:lang w:eastAsia="zh-CN"/>
        </w:rPr>
        <w:t>比</w:t>
      </w:r>
      <w:r>
        <w:rPr>
          <w:rFonts w:hint="eastAsia" w:ascii="仿宋_GB2312" w:eastAsia="仿宋_GB2312"/>
          <w:sz w:val="32"/>
          <w:szCs w:val="32"/>
        </w:rPr>
        <w:t>上年减少2.79万元，</w:t>
      </w:r>
      <w:r>
        <w:rPr>
          <w:rFonts w:hint="eastAsia" w:ascii="仿宋_GB2312" w:eastAsia="仿宋_GB2312"/>
          <w:sz w:val="32"/>
          <w:szCs w:val="32"/>
          <w:lang w:eastAsia="zh-CN"/>
        </w:rPr>
        <w:t>降低</w:t>
      </w:r>
      <w:r>
        <w:rPr>
          <w:rFonts w:hint="eastAsia" w:ascii="仿宋_GB2312" w:eastAsia="仿宋_GB2312"/>
          <w:sz w:val="32"/>
          <w:szCs w:val="32"/>
        </w:rPr>
        <w:t>87.19%，减少的主要原因是：严格执行“三公”经费只减不增的要求；</w:t>
      </w:r>
      <w:bookmarkEnd w:id="61"/>
      <w:bookmarkStart w:id="62" w:name="OLE_LINK32"/>
      <w:bookmarkStart w:id="63" w:name="OLE_LINK77"/>
      <w:bookmarkStart w:id="64" w:name="OLE_LINK78"/>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%，增加原因是：本单位无此项预算安排，也没有此项财政拨款支出。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新疆喀什地区英吉沙县苏盖提乡人民政府(本级）</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本单位无此项预算安排，也没有此项财政拨款支出。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0.41</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0.41</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汽车加油费、维修费、过路费、保险费等</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本单位无此项预算安排，也没有此项财政拨款支出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新疆喀什地区英吉沙县苏盖提乡人民政府(本级）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万元，决算数0.41万元</w:t>
      </w:r>
      <w:r>
        <w:rPr>
          <w:rFonts w:ascii="仿宋_GB2312" w:eastAsia="仿宋_GB2312"/>
          <w:color w:val="000000" w:themeColor="text1"/>
          <w:sz w:val="32"/>
          <w:szCs w:val="32"/>
        </w:rPr>
        <w:t>，预决算差异率-89.07%，差异主要原因是严格执行“三公”经费只减不增的要求。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，预决算差异率0%，差异主要原因是本单位无此项预算安排，也没有此项财政拨款支出；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，预决算差异率0%，差异主要原因是本单位无此项预算安排，也没有此项财政拨款支出；</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0.41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89.07%，差异主要原因是严格执行“三公”经费只减不增的要求；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本单位无此项预算安排，也没有此项财政拨款支出。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2018年度新疆喀什地区英吉沙县苏盖提乡人民政府(本级）机关运行经费支出28.89万元，与上年相比，增加3.1万元，增长12.02%，增加的主要原因是：机关各部门业务工作增加、人员配备增加，办公耗材增加。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71.67</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71.67</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29.52</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纪检部门</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计生指导宣传</w:t>
      </w:r>
      <w:r>
        <w:rPr>
          <w:rFonts w:hint="eastAsia" w:ascii="仿宋_GB2312" w:eastAsia="仿宋_GB2312"/>
          <w:color w:val="000000" w:themeColor="text1"/>
          <w:sz w:val="32"/>
          <w:szCs w:val="32"/>
          <w:lang w:eastAsia="zh-CN"/>
        </w:rPr>
        <w:t>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英吉沙县苏盖提乡人民政府2018年度部门预算总额为3,730.31万元，执行金额为3,730.31万元，预算执行率为100%。本次自评共涉及项目数</w:t>
      </w:r>
      <w:r>
        <w:rPr>
          <w:rFonts w:hint="eastAsia" w:ascii="仿宋_GB2312" w:eastAsia="仿宋_GB2312"/>
          <w:sz w:val="32"/>
          <w:szCs w:val="32"/>
          <w:lang w:val="en-US" w:eastAsia="zh-CN"/>
        </w:rPr>
        <w:t>17</w:t>
      </w:r>
      <w:r>
        <w:rPr>
          <w:rFonts w:ascii="仿宋_GB2312" w:eastAsia="仿宋_GB2312"/>
          <w:sz w:val="32"/>
          <w:szCs w:val="32"/>
        </w:rPr>
        <w:t>个，其中已完成项目</w:t>
      </w:r>
      <w:r>
        <w:rPr>
          <w:rFonts w:hint="eastAsia" w:ascii="仿宋_GB2312" w:eastAsia="仿宋_GB2312"/>
          <w:sz w:val="32"/>
          <w:szCs w:val="32"/>
          <w:lang w:val="en-US" w:eastAsia="zh-CN"/>
        </w:rPr>
        <w:t>17</w:t>
      </w:r>
      <w:r>
        <w:rPr>
          <w:rFonts w:ascii="仿宋_GB2312" w:eastAsia="仿宋_GB2312"/>
          <w:sz w:val="32"/>
          <w:szCs w:val="32"/>
        </w:rPr>
        <w:t>个、未完成项目0个，项目总体完成率为100%，各项目支出管理过程较为规范，预期绩效目标完成情况良好。通过本次自评全面总结了</w:t>
      </w:r>
      <w:bookmarkStart w:id="92" w:name="_GoBack"/>
      <w:bookmarkEnd w:id="92"/>
      <w:r>
        <w:rPr>
          <w:rFonts w:ascii="仿宋_GB2312" w:eastAsia="仿宋_GB2312"/>
          <w:sz w:val="32"/>
          <w:szCs w:val="32"/>
        </w:rPr>
        <w:t>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2018年乡镇就业引导资金项目绩效自评综述：根据年初设定的绩效目标，该项目绩效自评得分为96分。项目全年预算数为262.9万元，执行数为262.9万元，完成预算的100%。主要产出和效果：鼓励贫困户就业，增加农民收入。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2、贫困户育苗补贴项目绩效自评综述：根据年初设定的绩效目标，该项目绩效自评得分为96分。项目全年预算数为16.2万元，执行数为16.2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3、老人福利专项项目绩效自评综述：根据年初设定的绩效目标，该项目绩效自评得分为89分。项目全年预算数为2.73万元，执行数为2.73万元，完成预算的100%。主要产出和效果：县财政为苏盖提乡拨付了残疾人专项资金，保证了全乡残疾人享受政府各项补助级关爱。其次，通过残疾人专项资金的发放有利于完善社会保障事业，最后，资金的按时发放，保障残疾人基本生活需求，促进后代人的社会保障要求。发现的问题及原因：无。下一步改进措施： 根据项目现实施情况，计划下一年度继续申请残疾人专项资金，以保证全乡社保工作正常开展。</w:t>
      </w:r>
    </w:p>
    <w:p>
      <w:pPr>
        <w:spacing w:line="540" w:lineRule="exact"/>
        <w:ind w:left="-1" w:right="-1" w:firstLine="646"/>
        <w:jc w:val="left"/>
      </w:pPr>
      <w:r>
        <w:rPr>
          <w:rFonts w:ascii="仿宋_GB2312" w:hAnsi="仿宋_GB2312" w:eastAsia="仿宋_GB2312" w:cs="仿宋_GB2312"/>
          <w:b w:val="0"/>
          <w:color w:val="000000"/>
          <w:sz w:val="32"/>
          <w:u w:val="none"/>
        </w:rPr>
        <w:t>4、第五批庭院经济项目绩效自评综述：根据年初设定的绩效目标，该项目绩效自评得分为94分。项目全年预算数为83.9万元，执行数为83.9万元，完成预算的100%。主要产出和效果：庭院建设实现并提高农户收益。发现的问题及原因：按人按户资金发放完毕，对庭院进行改造且有巨大的变化同时实现了美丽庭院建设。下一步改进措施： 不断强化业务知识培训，提高使用率。</w:t>
      </w:r>
    </w:p>
    <w:p>
      <w:pPr>
        <w:spacing w:line="540" w:lineRule="exact"/>
        <w:ind w:left="-1" w:right="-1" w:firstLine="646"/>
        <w:jc w:val="left"/>
      </w:pPr>
      <w:r>
        <w:rPr>
          <w:rFonts w:ascii="仿宋_GB2312" w:hAnsi="仿宋_GB2312" w:eastAsia="仿宋_GB2312" w:cs="仿宋_GB2312"/>
          <w:b w:val="0"/>
          <w:color w:val="000000"/>
          <w:sz w:val="32"/>
          <w:u w:val="none"/>
        </w:rPr>
        <w:t>5、民政办人员工资及办公经费项目绩效自评综述：根据年初设定的绩效目标，该项目绩效自评得分为96分。项目全年预算数为40.56万元，执行数为40.56万元，完成预算的100%。主要产出和效果：为各类困难群众提供基本保障，达到暖民心、促民生的效果。发现的问题及原因：项目执行前期的规划及实施方案应该更加详细，综合考虑实际情况，使项目实施的更加顺畅，更加高效。下一步改进措施： 严格预算编制，做好精细准确，同时严格落实项目经费使用管理，做到专款专用。</w:t>
      </w:r>
    </w:p>
    <w:p>
      <w:pPr>
        <w:spacing w:line="540" w:lineRule="exact"/>
        <w:ind w:left="-1" w:right="-1" w:firstLine="646"/>
        <w:jc w:val="left"/>
      </w:pPr>
      <w:r>
        <w:rPr>
          <w:rFonts w:ascii="仿宋_GB2312" w:hAnsi="仿宋_GB2312" w:eastAsia="仿宋_GB2312" w:cs="仿宋_GB2312"/>
          <w:b w:val="0"/>
          <w:color w:val="000000"/>
          <w:sz w:val="32"/>
          <w:u w:val="none"/>
        </w:rPr>
        <w:t>6、服务中心建设费项目绩效自评综述：根据年初设定的绩效目标，该项目绩效自评得分为98分。项目全年预算数为79.7万元，执行数为79.7万元，完成预算的100%。主要产出和效果：为村民生活提供便利，改善人居环境，提高村民生活质量。发现的问题及原因：内容不够丰富。下一步改进措施： 进一步加强建设内容。</w:t>
      </w:r>
    </w:p>
    <w:p>
      <w:pPr>
        <w:spacing w:line="540" w:lineRule="exact"/>
        <w:ind w:left="-1" w:right="-1" w:firstLine="646"/>
        <w:jc w:val="left"/>
      </w:pPr>
      <w:r>
        <w:rPr>
          <w:rFonts w:ascii="仿宋_GB2312" w:hAnsi="仿宋_GB2312" w:eastAsia="仿宋_GB2312" w:cs="仿宋_GB2312"/>
          <w:b w:val="0"/>
          <w:color w:val="000000"/>
          <w:sz w:val="32"/>
          <w:u w:val="none"/>
        </w:rPr>
        <w:t>7、文化体系建设项目绩效自评综述：根据年初设定的绩效目标，该项目绩效自评得分为99分。项目全年预算数为4万元，执行数为4万元，完成预算的100%。主要产出和效果：为乡镇文化体系建设提供经费保障，提升干部群众精神文明建设。发现的问题及原因：使用频率不够。下一步改进措施： 加大对群众宣传引导。</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8</w:t>
      </w:r>
      <w:r>
        <w:rPr>
          <w:rFonts w:ascii="仿宋_GB2312" w:hAnsi="仿宋_GB2312" w:eastAsia="仿宋_GB2312" w:cs="仿宋_GB2312"/>
          <w:b w:val="0"/>
          <w:color w:val="000000"/>
          <w:sz w:val="32"/>
          <w:u w:val="none"/>
        </w:rPr>
        <w:t>、大学生村干部工资存量项目绩效自评综述：根据年初设定的绩效目标，该项目绩效自评得分为99分。项目全年预算数为13.34万元，执行数为13.34万元，完成预算的100%。主要产出和效果：提高大学生村干部工作积极性，促进村级工作更好开展。发现的问题及原因：个别大学生村干部能力不足，业务水平不高。下一步改进措施： 不断强化业务知识培训。</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9</w:t>
      </w:r>
      <w:r>
        <w:rPr>
          <w:rFonts w:ascii="仿宋_GB2312" w:hAnsi="仿宋_GB2312" w:eastAsia="仿宋_GB2312" w:cs="仿宋_GB2312"/>
          <w:b w:val="0"/>
          <w:color w:val="000000"/>
          <w:sz w:val="32"/>
          <w:u w:val="none"/>
        </w:rPr>
        <w:t>、2018贫困村整治项目绩效自评综述：根据年初设定的绩效目标，该项目绩效自评得分为95分。项目全年预算数为25.5万元，执行数为25.5万元，完成预算的100%。主要产出和效果：引导农户拆除危旧房，配套改造厨房，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10</w:t>
      </w:r>
      <w:r>
        <w:rPr>
          <w:rFonts w:ascii="仿宋_GB2312" w:hAnsi="仿宋_GB2312" w:eastAsia="仿宋_GB2312" w:cs="仿宋_GB2312"/>
          <w:b w:val="0"/>
          <w:color w:val="000000"/>
          <w:sz w:val="32"/>
          <w:u w:val="none"/>
        </w:rPr>
        <w:t>、2018年贫困户自主创业补助项目绩效自评综述：根据年初设定的绩效目标，该项目绩效自评得分为95分。项目全年预算数为94万元，执行数为94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1</w:t>
      </w:r>
      <w:r>
        <w:rPr>
          <w:rFonts w:ascii="仿宋_GB2312" w:hAnsi="仿宋_GB2312" w:eastAsia="仿宋_GB2312" w:cs="仿宋_GB2312"/>
          <w:b w:val="0"/>
          <w:color w:val="000000"/>
          <w:sz w:val="32"/>
          <w:u w:val="none"/>
        </w:rPr>
        <w:t>、2018年美容美发补助项目绩效自评综述：根据年初设定的绩效目标，该项目绩效自评得分为98分。项目全年预算数为17万元，执行数为17万元，完成预算的100%。主要产出和效果：充分尊重贫困群众意见，在本人自愿、个人申请、村级党工委审批、公示公告无异议的基础上，组织实施美容美发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2</w:t>
      </w:r>
      <w:r>
        <w:rPr>
          <w:rFonts w:ascii="仿宋_GB2312" w:hAnsi="仿宋_GB2312" w:eastAsia="仿宋_GB2312" w:cs="仿宋_GB2312"/>
          <w:b w:val="0"/>
          <w:color w:val="000000"/>
          <w:sz w:val="32"/>
          <w:u w:val="none"/>
        </w:rPr>
        <w:t>、苏盖提乡民政帮扶项目绩效自评综述：根据年初设定的绩效目标，该项目绩效自评得分为98分。项目全年预算数为1.54万元，执行数为1.54万元，完成预算的100%。主要产出和效果：为各类困难群众提供基本保障，达到暖民心、促民生的效果。发现的问题及原因：要做好前期基础工作，确保资金使用精准。下一步改进措施： 不断强化业务知识培训，提高使用率。</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2018林果业提质增效（病虫害防治）项目绩效自评综述：根据年初设定的绩效目标，该项目绩效自评得分为90分。项目全年预算数为79.3万元，执行数为79.3万元，完成预算的100%。主要产出和效果：县财政为苏盖提乡拨付林果业病虫害防治项目，通过为贫困户购买农药，发放给贫困户用于林果业病虫害的防治，增加产量，促进贫困户增收。发现的问题及原因：无。下一步改进措施： 根据项目现实施情况，计划下一年度继续申请林果业病虫害防治项目，以保证农民稳</w:t>
      </w:r>
      <w:r>
        <w:rPr>
          <w:rFonts w:hint="eastAsia" w:ascii="仿宋_GB2312" w:hAnsi="仿宋_GB2312" w:eastAsia="仿宋_GB2312" w:cs="仿宋_GB2312"/>
          <w:b w:val="0"/>
          <w:color w:val="000000"/>
          <w:sz w:val="32"/>
          <w:u w:val="none"/>
          <w:lang w:eastAsia="zh-CN"/>
        </w:rPr>
        <w:t>固</w:t>
      </w:r>
      <w:r>
        <w:rPr>
          <w:rFonts w:ascii="仿宋_GB2312" w:hAnsi="仿宋_GB2312" w:eastAsia="仿宋_GB2312" w:cs="仿宋_GB2312"/>
          <w:b w:val="0"/>
          <w:color w:val="000000"/>
          <w:sz w:val="32"/>
          <w:u w:val="none"/>
        </w:rPr>
        <w:t>增收，如期脱贫。</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2018林果业提质增效项目绩效自评综述：根据年初设定的绩效目标，该项目绩效自评得分为98分。项目全年预算数为117万元，执行数为117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5</w:t>
      </w:r>
      <w:r>
        <w:rPr>
          <w:rFonts w:ascii="仿宋_GB2312" w:hAnsi="仿宋_GB2312" w:eastAsia="仿宋_GB2312" w:cs="仿宋_GB2312"/>
          <w:b w:val="0"/>
          <w:color w:val="000000"/>
          <w:sz w:val="32"/>
          <w:u w:val="none"/>
        </w:rPr>
        <w:t>、2018年手工业设备项目绩效自评综述：根据年初设定的绩效目标，该项目绩效自评得分为96分。项目全年预算数为9.99万元，执行数为9.99万元，完成预算的100%。主要产出和效果：充分尊重贫困群众意见，在本人自愿、个人申请、村级党工委审批、公示公告无异议的基础上，组织实施手工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6</w:t>
      </w:r>
      <w:r>
        <w:rPr>
          <w:rFonts w:ascii="仿宋_GB2312" w:hAnsi="仿宋_GB2312" w:eastAsia="仿宋_GB2312" w:cs="仿宋_GB2312"/>
          <w:b w:val="0"/>
          <w:color w:val="000000"/>
          <w:sz w:val="32"/>
          <w:u w:val="none"/>
        </w:rPr>
        <w:t>、2018年庭院经济补助项目绩效自评综述：根据年初设定的绩效目标，该项目绩效自评得分为93分。项目全年预算数为1,150.4万元，执行数为1,150.4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b w:val="0"/>
          <w:color w:val="000000"/>
          <w:sz w:val="32"/>
          <w:u w:val="none"/>
        </w:rPr>
        <w:t>1</w:t>
      </w:r>
      <w:r>
        <w:rPr>
          <w:rFonts w:hint="eastAsia" w:ascii="仿宋_GB2312" w:hAnsi="仿宋_GB2312" w:eastAsia="仿宋_GB2312" w:cs="仿宋_GB2312"/>
          <w:b w:val="0"/>
          <w:color w:val="000000"/>
          <w:sz w:val="32"/>
          <w:u w:val="none"/>
          <w:lang w:val="en-US" w:eastAsia="zh-CN"/>
        </w:rPr>
        <w:t>7</w:t>
      </w:r>
      <w:r>
        <w:rPr>
          <w:rFonts w:ascii="仿宋_GB2312" w:hAnsi="仿宋_GB2312" w:eastAsia="仿宋_GB2312" w:cs="仿宋_GB2312"/>
          <w:b w:val="0"/>
          <w:color w:val="000000"/>
          <w:sz w:val="32"/>
          <w:u w:val="none"/>
        </w:rPr>
        <w:t>、2018年小商铺建设补助项目绩效自评综述：根据年初设定的绩效目标，该项目绩效自评得分为94分。项目全年预算数为1,350.8万元，执行数为1,350.8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208（类）99（款）01（项）指：其他社会保障和就业支出。213（类）01（款）35（项）指：农业资源保护修复与利用。208（类）05（款）05（项）指：机关事业单位基本养老保险缴费支出。208（类）11（款）04（项）指：残疾人康复。201（类）06（款）01（项）指：行政运行。208（类）11（款）05（项）指：残疾人就业和扶贫。208（类）10（款）02（项）指：老年福利。201（类）32（款）99（项）指：其他组织事务支出。201（类）11（款）99（项）指：其他纪检监察事务支出。229（类）99（款）01（项）指：其他支出。201（类）03（款）01（项）指：行政运行。201（类）34（款）99（项）指：其他统战事务支出。201（类）99（款）99（项）指：其他一般公共服务支出。213（类）01（款）04（项）指：事业运行。213（类）05（款）05（项）指：生产发展。221（类）02（款）01（项）指：住房公积金。213（类）05（款）04（项）指：农村基础设施建设。204（类）02（款）01（项）指：行政运行。213（类）01（款）01（项）指：行政运行。213（类）01（款）24（项）指：农业组织化与产业化经营。204（类）06（款）01（项）指：行政运行。204（类）02（款）04（项）指：治安管理。208（类）02（款）02（项）指：一般行政管理事务。208（类）11（款）99（项）指：其他残疾人事业支出。220（类）01（款）01（项）指：行政运行。201（类）31（款）01（项）指：行政运行。207（类）99（款）99（项）指：其他文化体育与传媒支出。207（类）01（款）09（项）指：群众文化。</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rPr>
      </w:pPr>
      <w:r>
        <w:rPr>
          <w:rFonts w:hint="eastAsia" w:ascii="仿宋_GB2312" w:eastAsia="仿宋_GB2312"/>
          <w:sz w:val="32"/>
          <w:szCs w:val="32"/>
        </w:rPr>
        <w:t>英吉沙县</w:t>
      </w:r>
      <w:r>
        <w:rPr>
          <w:rFonts w:hint="eastAsia" w:ascii="仿宋_GB2312" w:eastAsia="仿宋_GB2312"/>
          <w:sz w:val="32"/>
          <w:szCs w:val="32"/>
          <w:lang w:eastAsia="zh-CN"/>
        </w:rPr>
        <w:t>苏盖提</w:t>
      </w:r>
      <w:r>
        <w:rPr>
          <w:rFonts w:hint="eastAsia" w:ascii="仿宋_GB2312" w:eastAsia="仿宋_GB2312"/>
          <w:sz w:val="32"/>
          <w:szCs w:val="32"/>
        </w:rPr>
        <w:t>乡人民政府</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1B91FE5"/>
    <w:rsid w:val="13B960C5"/>
    <w:rsid w:val="152777F4"/>
    <w:rsid w:val="15C674B6"/>
    <w:rsid w:val="18D54A0D"/>
    <w:rsid w:val="1A4106A0"/>
    <w:rsid w:val="1A4F5437"/>
    <w:rsid w:val="1AB77CD0"/>
    <w:rsid w:val="1C525EDE"/>
    <w:rsid w:val="1E807156"/>
    <w:rsid w:val="1EA657F6"/>
    <w:rsid w:val="1F097CB6"/>
    <w:rsid w:val="2166156B"/>
    <w:rsid w:val="21B02D83"/>
    <w:rsid w:val="22A236F5"/>
    <w:rsid w:val="23995975"/>
    <w:rsid w:val="2432220E"/>
    <w:rsid w:val="248303BA"/>
    <w:rsid w:val="24837E47"/>
    <w:rsid w:val="252E01AA"/>
    <w:rsid w:val="2680023E"/>
    <w:rsid w:val="287F658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180242"/>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220C80"/>
    <w:rsid w:val="556318EA"/>
    <w:rsid w:val="55A60AA1"/>
    <w:rsid w:val="56451615"/>
    <w:rsid w:val="57FC5774"/>
    <w:rsid w:val="594D70CA"/>
    <w:rsid w:val="59B332C9"/>
    <w:rsid w:val="5A44758A"/>
    <w:rsid w:val="5AC971A5"/>
    <w:rsid w:val="5BEC4BB3"/>
    <w:rsid w:val="5C070B55"/>
    <w:rsid w:val="5CB96DCE"/>
    <w:rsid w:val="5CE61580"/>
    <w:rsid w:val="5D175666"/>
    <w:rsid w:val="5D556A3C"/>
    <w:rsid w:val="5D7B25C9"/>
    <w:rsid w:val="5ECB44B4"/>
    <w:rsid w:val="5EE2043C"/>
    <w:rsid w:val="5EFD1D2E"/>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8E57348"/>
    <w:rsid w:val="79296B37"/>
    <w:rsid w:val="7A4C4C40"/>
    <w:rsid w:val="7AA0518E"/>
    <w:rsid w:val="7B041636"/>
    <w:rsid w:val="7CA86749"/>
    <w:rsid w:val="7EC92370"/>
    <w:rsid w:val="7F2238BD"/>
    <w:rsid w:val="7F2D4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27</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2021-07-13T15:19:45Z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